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572E9601"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A33B31" w:rsidRPr="00DD394B">
        <w:rPr>
          <w:rFonts w:ascii="Arial" w:hAnsi="Arial" w:cs="Arial"/>
          <w:b/>
          <w:sz w:val="22"/>
          <w:szCs w:val="22"/>
        </w:rPr>
        <w:t>»</w:t>
      </w:r>
      <w:r w:rsidR="00640A88" w:rsidRPr="00DD394B">
        <w:rPr>
          <w:rFonts w:ascii="Arial" w:hAnsi="Arial" w:cs="Arial"/>
          <w:b/>
          <w:sz w:val="22"/>
          <w:szCs w:val="22"/>
        </w:rPr>
        <w:t xml:space="preserve">Izdelava </w:t>
      </w:r>
      <w:r w:rsidR="00640A88">
        <w:rPr>
          <w:rFonts w:ascii="Arial" w:hAnsi="Arial" w:cs="Arial"/>
          <w:b/>
          <w:sz w:val="22"/>
          <w:szCs w:val="22"/>
        </w:rPr>
        <w:t>študije prometne ureditve soseske Stara kolonija</w:t>
      </w:r>
      <w:r w:rsidR="00A33B31" w:rsidRPr="00DD394B">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DC8067A"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7E5A24">
        <w:rPr>
          <w:rFonts w:ascii="Arial" w:hAnsi="Arial" w:cs="Arial"/>
          <w:sz w:val="22"/>
          <w:szCs w:val="22"/>
        </w:rPr>
        <w:t>naročila JN00</w:t>
      </w:r>
      <w:r w:rsidR="00A33B31" w:rsidRPr="007E5A24">
        <w:rPr>
          <w:rFonts w:ascii="Arial" w:hAnsi="Arial" w:cs="Arial"/>
          <w:sz w:val="22"/>
          <w:szCs w:val="22"/>
        </w:rPr>
        <w:t>5</w:t>
      </w:r>
      <w:r w:rsidR="007E5A24" w:rsidRPr="007E5A24">
        <w:rPr>
          <w:rFonts w:ascii="Arial" w:hAnsi="Arial" w:cs="Arial"/>
          <w:sz w:val="22"/>
          <w:szCs w:val="22"/>
        </w:rPr>
        <w:t>770</w:t>
      </w:r>
      <w:r w:rsidRPr="007E5A24">
        <w:rPr>
          <w:rFonts w:ascii="Arial" w:hAnsi="Arial" w:cs="Arial"/>
          <w:sz w:val="22"/>
          <w:szCs w:val="22"/>
        </w:rPr>
        <w:t>/2018-W01 pridobi podatke za preveritev ponudbe v skladu 89. členom</w:t>
      </w:r>
      <w:bookmarkStart w:id="0" w:name="_GoBack"/>
      <w:bookmarkEnd w:id="0"/>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619FA066" w:rsidR="000676A7" w:rsidRDefault="000676A7" w:rsidP="001B0C7B">
      <w:pPr>
        <w:jc w:val="both"/>
        <w:rPr>
          <w:rFonts w:ascii="Arial" w:hAnsi="Arial" w:cs="Arial"/>
          <w:sz w:val="22"/>
          <w:szCs w:val="22"/>
        </w:rPr>
      </w:pPr>
    </w:p>
    <w:p w14:paraId="43D95613" w14:textId="03C7FBC3" w:rsidR="00A33B31" w:rsidRDefault="00A33B31" w:rsidP="001B0C7B">
      <w:pPr>
        <w:jc w:val="both"/>
        <w:rPr>
          <w:rFonts w:ascii="Arial" w:hAnsi="Arial" w:cs="Arial"/>
          <w:sz w:val="22"/>
          <w:szCs w:val="22"/>
        </w:rPr>
      </w:pPr>
    </w:p>
    <w:p w14:paraId="2A1207B0" w14:textId="77777777" w:rsidR="00A33B31" w:rsidRDefault="00A33B31"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41DE5" w14:textId="77777777" w:rsidR="002925BC" w:rsidRDefault="002925BC" w:rsidP="000B6BBD">
      <w:r>
        <w:separator/>
      </w:r>
    </w:p>
  </w:endnote>
  <w:endnote w:type="continuationSeparator" w:id="0">
    <w:p w14:paraId="083B4A86" w14:textId="77777777" w:rsidR="002925BC" w:rsidRDefault="002925B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19487" w14:textId="77777777" w:rsidR="002925BC" w:rsidRDefault="002925BC" w:rsidP="000B6BBD">
      <w:r>
        <w:separator/>
      </w:r>
    </w:p>
  </w:footnote>
  <w:footnote w:type="continuationSeparator" w:id="0">
    <w:p w14:paraId="444F8406" w14:textId="77777777" w:rsidR="002925BC" w:rsidRDefault="002925B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0BDA5FC" wp14:editId="56956D1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5BC"/>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40A88"/>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E5A24"/>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33B31"/>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842987-E11D-4AA2-B0F1-B57611772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577</Words>
  <Characters>3290</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22</cp:revision>
  <dcterms:created xsi:type="dcterms:W3CDTF">2016-05-25T22:41:00Z</dcterms:created>
  <dcterms:modified xsi:type="dcterms:W3CDTF">2018-08-22T12:38:00Z</dcterms:modified>
</cp:coreProperties>
</file>